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C76D" w14:textId="77777777" w:rsidR="006B3854" w:rsidRPr="00EB5801" w:rsidRDefault="006B3854" w:rsidP="006B3854"/>
    <w:p w14:paraId="59AE7677" w14:textId="77777777" w:rsidR="006B3854" w:rsidRPr="00D34329" w:rsidRDefault="006B3854" w:rsidP="006B3854">
      <w:pPr>
        <w:spacing w:before="120" w:after="0" w:line="240" w:lineRule="auto"/>
        <w:rPr>
          <w:rFonts w:ascii="Calibri" w:eastAsia="Calibri" w:hAnsi="Calibri" w:cs="Calibri"/>
          <w:b/>
          <w:bCs/>
          <w:sz w:val="80"/>
          <w:szCs w:val="80"/>
        </w:rPr>
      </w:pPr>
      <w:r w:rsidRPr="00D34329">
        <w:rPr>
          <w:rFonts w:ascii="Calibri" w:eastAsia="Calibri" w:hAnsi="Calibri" w:cs="Calibri"/>
          <w:b/>
          <w:bCs/>
          <w:sz w:val="80"/>
          <w:szCs w:val="80"/>
        </w:rPr>
        <w:t>AHCS</w:t>
      </w:r>
    </w:p>
    <w:p w14:paraId="15039337" w14:textId="77777777" w:rsidR="006B3854" w:rsidRPr="00D34329" w:rsidRDefault="006B3854" w:rsidP="006B3854">
      <w:pPr>
        <w:spacing w:before="120" w:after="0" w:line="240" w:lineRule="auto"/>
        <w:rPr>
          <w:rFonts w:ascii="Calibri" w:eastAsia="Calibri" w:hAnsi="Calibri" w:cs="Calibri"/>
          <w:b/>
          <w:bCs/>
          <w:sz w:val="80"/>
          <w:szCs w:val="80"/>
        </w:rPr>
      </w:pPr>
      <w:r w:rsidRPr="00D34329">
        <w:rPr>
          <w:rFonts w:ascii="Calibri" w:eastAsia="Calibri" w:hAnsi="Calibri" w:cs="Calibri"/>
          <w:b/>
          <w:bCs/>
          <w:sz w:val="80"/>
          <w:szCs w:val="80"/>
        </w:rPr>
        <w:t>External Examiner Scientist Training Programme (STP) Certificate of Equivalence</w:t>
      </w:r>
    </w:p>
    <w:p w14:paraId="4533729B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61C0850A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31BCBD94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30C1B4A7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123C3500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2AC9FBAC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2B51482B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684A6572" w14:textId="77777777" w:rsidR="006B3854" w:rsidRDefault="006B3854" w:rsidP="006B3854">
      <w:pPr>
        <w:spacing w:before="120" w:after="0" w:line="240" w:lineRule="auto"/>
        <w:rPr>
          <w:rFonts w:ascii="Calibri" w:eastAsia="Calibri" w:hAnsi="Calibri" w:cs="Calibri"/>
        </w:rPr>
      </w:pPr>
    </w:p>
    <w:p w14:paraId="3A74E4D0" w14:textId="773488E2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35742C74" w14:textId="44DA3CC6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035A6195" w14:textId="3D5E48F3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6521787A" w14:textId="5017D73B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3DA8D663" w14:textId="113579A5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4B887513" w14:textId="4D003457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1BE4D0AA" w14:textId="3425C22E" w:rsidR="00FB28F2" w:rsidRDefault="00FB28F2" w:rsidP="00FB28F2">
      <w:pPr>
        <w:spacing w:before="120" w:after="0" w:line="240" w:lineRule="auto"/>
        <w:rPr>
          <w:rFonts w:ascii="Calibri" w:eastAsia="Calibri" w:hAnsi="Calibri" w:cs="Calibri"/>
        </w:rPr>
      </w:pPr>
    </w:p>
    <w:p w14:paraId="05A3FE53" w14:textId="77777777" w:rsidR="006B3854" w:rsidRDefault="006B3854" w:rsidP="006B38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F606D72" w14:textId="77777777" w:rsidR="006B3854" w:rsidRPr="00715E5D" w:rsidRDefault="006B3854" w:rsidP="006B3854">
      <w:pPr>
        <w:pStyle w:val="Heading2"/>
        <w:spacing w:before="120" w:line="276" w:lineRule="auto"/>
        <w:rPr>
          <w:rFonts w:eastAsia="Calibri"/>
        </w:rPr>
      </w:pPr>
      <w:r w:rsidRPr="00715E5D">
        <w:rPr>
          <w:rFonts w:eastAsia="Calibri"/>
        </w:rPr>
        <w:lastRenderedPageBreak/>
        <w:t>The appointment of the External Examiner for the STP</w:t>
      </w:r>
      <w:r>
        <w:rPr>
          <w:rFonts w:eastAsia="Calibri"/>
        </w:rPr>
        <w:t xml:space="preserve"> </w:t>
      </w:r>
      <w:r w:rsidRPr="00715E5D">
        <w:rPr>
          <w:rFonts w:eastAsia="Calibri"/>
        </w:rPr>
        <w:t>Certificate of Equivalence</w:t>
      </w:r>
    </w:p>
    <w:p w14:paraId="3153B091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The External Examiner is responsible to </w:t>
      </w:r>
      <w:r>
        <w:rPr>
          <w:rFonts w:ascii="Calibri" w:eastAsia="Calibri" w:hAnsi="Calibri" w:cs="Calibri"/>
        </w:rPr>
        <w:t>the Academy of Healthcare Science (</w:t>
      </w:r>
      <w:r w:rsidRPr="00715E5D">
        <w:rPr>
          <w:rFonts w:ascii="Calibri" w:eastAsia="Calibri" w:hAnsi="Calibri" w:cs="Calibri"/>
        </w:rPr>
        <w:t>AHCS</w:t>
      </w:r>
      <w:r>
        <w:rPr>
          <w:rFonts w:ascii="Calibri" w:eastAsia="Calibri" w:hAnsi="Calibri" w:cs="Calibri"/>
        </w:rPr>
        <w:t>)</w:t>
      </w:r>
      <w:r w:rsidRPr="00715E5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Regulation </w:t>
      </w:r>
      <w:r w:rsidRPr="00715E5D"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</w:rPr>
        <w:t>.</w:t>
      </w:r>
    </w:p>
    <w:p w14:paraId="72A971C8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Normally, applications for the External Examiner are taken from advert. The application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should be accompanied by a detailed CV for the person applying.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The External Examiner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should also be asked to give consent to their application and their details being held and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used by the AHCS in relation to his/her duties as an Examiner.</w:t>
      </w:r>
    </w:p>
    <w:p w14:paraId="697EEDF4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Applications are reviewed against the selection criteria by the Academy and a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 xml:space="preserve">recommendation for appointment taken to the </w:t>
      </w:r>
      <w:r>
        <w:rPr>
          <w:rFonts w:ascii="Calibri" w:eastAsia="Calibri" w:hAnsi="Calibri" w:cs="Calibri"/>
        </w:rPr>
        <w:t>Regulation Board</w:t>
      </w:r>
      <w:r w:rsidRPr="00715E5D">
        <w:rPr>
          <w:rFonts w:ascii="Calibri" w:eastAsia="Calibri" w:hAnsi="Calibri" w:cs="Calibri"/>
        </w:rPr>
        <w:t xml:space="preserve"> for approval.</w:t>
      </w:r>
      <w:r>
        <w:rPr>
          <w:rFonts w:ascii="Calibri" w:eastAsia="Calibri" w:hAnsi="Calibri" w:cs="Calibri"/>
        </w:rPr>
        <w:t xml:space="preserve"> Interviews will take place if there is more than one candidate who meets the selection criteria.</w:t>
      </w:r>
    </w:p>
    <w:p w14:paraId="457BA3D9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The selection criteria for appointment are:</w:t>
      </w:r>
    </w:p>
    <w:p w14:paraId="33499F7D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registered Clinical Scientist</w:t>
      </w:r>
    </w:p>
    <w:p w14:paraId="2A784837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independent of the AHCS</w:t>
      </w:r>
    </w:p>
    <w:p w14:paraId="63773C99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knowledge and understanding of the requirements of the outcomes of the National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School of Healthcare Science accredited Scientist Training Programme (STP)</w:t>
      </w:r>
    </w:p>
    <w:p w14:paraId="705C9285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competence and experience in one or more of the specialties covered by the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programme</w:t>
      </w:r>
    </w:p>
    <w:p w14:paraId="2A6DE976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competence and experience relating to designing and operating a variety of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assessment tasks appropriate to the subject and operating assessment procedures</w:t>
      </w:r>
    </w:p>
    <w:p w14:paraId="55A21222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f.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sufficient standing, credibility and breadth of experience within the discipline to be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able to command the respect of peers and, where appropriate, professional peers</w:t>
      </w:r>
    </w:p>
    <w:p w14:paraId="459E7A05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g.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familiarity with the standard to be expected of applicants to achieve the award that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is to be assessed</w:t>
      </w:r>
    </w:p>
    <w:p w14:paraId="6BBBD939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h.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awareness of current developments in the design and delivery of relevant STP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curricula</w:t>
      </w:r>
    </w:p>
    <w:p w14:paraId="20893D85" w14:textId="77777777" w:rsidR="006B3854" w:rsidRPr="00715E5D" w:rsidRDefault="006B3854" w:rsidP="006B3854">
      <w:pPr>
        <w:spacing w:before="120" w:after="0" w:line="276" w:lineRule="auto"/>
        <w:ind w:left="1276" w:hanging="425"/>
        <w:rPr>
          <w:rFonts w:ascii="Calibri" w:eastAsia="Calibri" w:hAnsi="Calibri" w:cs="Calibri"/>
        </w:rPr>
      </w:pPr>
      <w:proofErr w:type="spellStart"/>
      <w:r w:rsidRPr="00715E5D">
        <w:rPr>
          <w:rFonts w:ascii="Calibri" w:eastAsia="Calibri" w:hAnsi="Calibri" w:cs="Calibri"/>
        </w:rPr>
        <w:t>i</w:t>
      </w:r>
      <w:proofErr w:type="spellEnd"/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research active (desirable).</w:t>
      </w:r>
    </w:p>
    <w:p w14:paraId="4C09DAAD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The period of service </w:t>
      </w:r>
      <w:r>
        <w:rPr>
          <w:rFonts w:ascii="Calibri" w:eastAsia="Calibri" w:hAnsi="Calibri" w:cs="Calibri"/>
        </w:rPr>
        <w:t xml:space="preserve">as an External Examiner </w:t>
      </w:r>
      <w:r w:rsidRPr="00715E5D">
        <w:rPr>
          <w:rFonts w:ascii="Calibri" w:eastAsia="Calibri" w:hAnsi="Calibri" w:cs="Calibri"/>
        </w:rPr>
        <w:t>will normally be for a maximum of four years.</w:t>
      </w:r>
    </w:p>
    <w:p w14:paraId="31170401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The AHCS reserves the right to terminate the appointment of an External Examiner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prematurely in the following circumstances:</w:t>
      </w:r>
    </w:p>
    <w:p w14:paraId="5B015614" w14:textId="77777777" w:rsidR="006B3854" w:rsidRPr="00715E5D" w:rsidRDefault="006B3854" w:rsidP="006B3854">
      <w:pPr>
        <w:spacing w:before="120" w:after="0" w:line="276" w:lineRule="auto"/>
        <w:ind w:left="1276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non-submission of reports within the specified timescales</w:t>
      </w:r>
    </w:p>
    <w:p w14:paraId="5D50348D" w14:textId="77777777" w:rsidR="006B3854" w:rsidRPr="00715E5D" w:rsidRDefault="006B3854" w:rsidP="006B3854">
      <w:pPr>
        <w:spacing w:before="120" w:after="0" w:line="276" w:lineRule="auto"/>
        <w:ind w:left="1276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non-fulfilment of other duties outlined in the procedures</w:t>
      </w:r>
    </w:p>
    <w:p w14:paraId="68FCE5A7" w14:textId="77777777" w:rsidR="006B3854" w:rsidRPr="00715E5D" w:rsidRDefault="006B3854" w:rsidP="006B3854">
      <w:pPr>
        <w:spacing w:before="120" w:after="0" w:line="276" w:lineRule="auto"/>
        <w:ind w:left="1276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where in the AHCS’s judgement a situation arises compromising either the AHCS’s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reputation or the good standing of the External Examiner</w:t>
      </w:r>
    </w:p>
    <w:p w14:paraId="49032F1A" w14:textId="77777777" w:rsidR="006B3854" w:rsidRPr="00715E5D" w:rsidRDefault="006B3854" w:rsidP="006B3854">
      <w:pPr>
        <w:spacing w:before="120" w:after="0" w:line="276" w:lineRule="auto"/>
        <w:ind w:left="1276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where the AHCS role changes with regards to </w:t>
      </w:r>
      <w:r>
        <w:rPr>
          <w:rFonts w:ascii="Calibri" w:eastAsia="Calibri" w:hAnsi="Calibri" w:cs="Calibri"/>
        </w:rPr>
        <w:t>the</w:t>
      </w:r>
      <w:r w:rsidRPr="00715E5D">
        <w:rPr>
          <w:rFonts w:ascii="Calibri" w:eastAsia="Calibri" w:hAnsi="Calibri" w:cs="Calibri"/>
        </w:rPr>
        <w:t xml:space="preserve"> Equivalence</w:t>
      </w:r>
      <w:r>
        <w:rPr>
          <w:rFonts w:ascii="Calibri" w:eastAsia="Calibri" w:hAnsi="Calibri" w:cs="Calibri"/>
        </w:rPr>
        <w:t xml:space="preserve"> process</w:t>
      </w:r>
      <w:r w:rsidRPr="00715E5D">
        <w:rPr>
          <w:rFonts w:ascii="Calibri" w:eastAsia="Calibri" w:hAnsi="Calibri" w:cs="Calibri"/>
        </w:rPr>
        <w:t>.</w:t>
      </w:r>
    </w:p>
    <w:p w14:paraId="1A32E6D1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 w:rsidRPr="00715E5D"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The Academy will inform the successful and unsuccessful candidates for the appointment.</w:t>
      </w:r>
    </w:p>
    <w:p w14:paraId="2DCDA8C2" w14:textId="77777777" w:rsidR="006B3854" w:rsidRPr="00715E5D" w:rsidRDefault="006B3854" w:rsidP="006B3854">
      <w:pPr>
        <w:pStyle w:val="Heading2"/>
        <w:spacing w:before="120" w:line="276" w:lineRule="auto"/>
        <w:rPr>
          <w:rFonts w:eastAsia="Calibri"/>
        </w:rPr>
      </w:pPr>
      <w:r w:rsidRPr="00715E5D">
        <w:rPr>
          <w:rFonts w:eastAsia="Calibri"/>
        </w:rPr>
        <w:t>Duties of the External Examiner</w:t>
      </w:r>
    </w:p>
    <w:p w14:paraId="45CFE33B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To participate fully in the </w:t>
      </w:r>
      <w:r>
        <w:rPr>
          <w:rFonts w:ascii="Calibri" w:eastAsia="Calibri" w:hAnsi="Calibri" w:cs="Calibri"/>
        </w:rPr>
        <w:t>AHCS a</w:t>
      </w:r>
      <w:r w:rsidRPr="00715E5D">
        <w:rPr>
          <w:rFonts w:ascii="Calibri" w:eastAsia="Calibri" w:hAnsi="Calibri" w:cs="Calibri"/>
        </w:rPr>
        <w:t xml:space="preserve">nnual </w:t>
      </w:r>
      <w:r>
        <w:rPr>
          <w:rFonts w:ascii="Calibri" w:eastAsia="Calibri" w:hAnsi="Calibri" w:cs="Calibri"/>
        </w:rPr>
        <w:t>q</w:t>
      </w:r>
      <w:r w:rsidRPr="00715E5D">
        <w:rPr>
          <w:rFonts w:ascii="Calibri" w:eastAsia="Calibri" w:hAnsi="Calibri" w:cs="Calibri"/>
        </w:rPr>
        <w:t xml:space="preserve">uality </w:t>
      </w:r>
      <w:r>
        <w:rPr>
          <w:rFonts w:ascii="Calibri" w:eastAsia="Calibri" w:hAnsi="Calibri" w:cs="Calibri"/>
        </w:rPr>
        <w:t>r</w:t>
      </w:r>
      <w:r w:rsidRPr="00715E5D">
        <w:rPr>
          <w:rFonts w:ascii="Calibri" w:eastAsia="Calibri" w:hAnsi="Calibri" w:cs="Calibri"/>
        </w:rPr>
        <w:t xml:space="preserve">eview of the </w:t>
      </w:r>
      <w:r>
        <w:rPr>
          <w:rFonts w:ascii="Calibri" w:eastAsia="Calibri" w:hAnsi="Calibri" w:cs="Calibri"/>
        </w:rPr>
        <w:t xml:space="preserve">STP </w:t>
      </w:r>
      <w:r w:rsidRPr="00715E5D">
        <w:rPr>
          <w:rFonts w:ascii="Calibri" w:eastAsia="Calibri" w:hAnsi="Calibri" w:cs="Calibri"/>
        </w:rPr>
        <w:t xml:space="preserve">Certificate of Equivalence </w:t>
      </w:r>
      <w:r>
        <w:rPr>
          <w:rFonts w:ascii="Calibri" w:eastAsia="Calibri" w:hAnsi="Calibri" w:cs="Calibri"/>
        </w:rPr>
        <w:t>programme</w:t>
      </w:r>
      <w:r w:rsidRPr="00715E5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providing an independent view on the processes that assure</w:t>
      </w:r>
      <w:r>
        <w:rPr>
          <w:rFonts w:ascii="Calibri" w:eastAsia="Calibri" w:hAnsi="Calibri" w:cs="Calibri"/>
        </w:rPr>
        <w:t>s</w:t>
      </w:r>
      <w:r w:rsidRPr="00715E5D">
        <w:rPr>
          <w:rFonts w:ascii="Calibri" w:eastAsia="Calibri" w:hAnsi="Calibri" w:cs="Calibri"/>
        </w:rPr>
        <w:t xml:space="preserve"> the quality of the programme</w:t>
      </w:r>
      <w:r>
        <w:rPr>
          <w:rFonts w:ascii="Calibri" w:eastAsia="Calibri" w:hAnsi="Calibri" w:cs="Calibri"/>
        </w:rPr>
        <w:t>. The activity will normally include the review of a sample of STP Equivalence applications and assessments; and the review of programme handbook, guidance documents, the draft Annual Quality Review Report, review training materials, and other documentation as requested.</w:t>
      </w:r>
    </w:p>
    <w:p w14:paraId="534D3695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To provide informative comment to the </w:t>
      </w:r>
      <w:r>
        <w:rPr>
          <w:rFonts w:ascii="Calibri" w:eastAsia="Calibri" w:hAnsi="Calibri" w:cs="Calibri"/>
        </w:rPr>
        <w:t>Regulation Board</w:t>
      </w:r>
      <w:r w:rsidRPr="00715E5D">
        <w:rPr>
          <w:rFonts w:ascii="Calibri" w:eastAsia="Calibri" w:hAnsi="Calibri" w:cs="Calibri"/>
        </w:rPr>
        <w:t xml:space="preserve"> as to whether or not the </w:t>
      </w:r>
      <w:r>
        <w:rPr>
          <w:rFonts w:ascii="Calibri" w:eastAsia="Calibri" w:hAnsi="Calibri" w:cs="Calibri"/>
        </w:rPr>
        <w:t xml:space="preserve">STP </w:t>
      </w:r>
      <w:r w:rsidRPr="00715E5D">
        <w:rPr>
          <w:rFonts w:ascii="Calibri" w:eastAsia="Calibri" w:hAnsi="Calibri" w:cs="Calibri"/>
        </w:rPr>
        <w:t xml:space="preserve">Certificate of Equivalence </w:t>
      </w:r>
      <w:r>
        <w:rPr>
          <w:rFonts w:ascii="Calibri" w:eastAsia="Calibri" w:hAnsi="Calibri" w:cs="Calibri"/>
        </w:rPr>
        <w:t>programme</w:t>
      </w:r>
      <w:r w:rsidRPr="00715E5D">
        <w:rPr>
          <w:rFonts w:ascii="Calibri" w:eastAsia="Calibri" w:hAnsi="Calibri" w:cs="Calibri"/>
        </w:rPr>
        <w:t xml:space="preserve"> continues to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meet the H</w:t>
      </w:r>
      <w:r>
        <w:rPr>
          <w:rFonts w:ascii="Calibri" w:eastAsia="Calibri" w:hAnsi="Calibri" w:cs="Calibri"/>
        </w:rPr>
        <w:t>ealth and Care Professions Council’s (H</w:t>
      </w:r>
      <w:r w:rsidRPr="00715E5D">
        <w:rPr>
          <w:rFonts w:ascii="Calibri" w:eastAsia="Calibri" w:hAnsi="Calibri" w:cs="Calibri"/>
        </w:rPr>
        <w:t>CPC</w:t>
      </w:r>
      <w:r>
        <w:rPr>
          <w:rFonts w:ascii="Calibri" w:eastAsia="Calibri" w:hAnsi="Calibri" w:cs="Calibri"/>
        </w:rPr>
        <w:t>)</w:t>
      </w:r>
      <w:r w:rsidRPr="00715E5D">
        <w:rPr>
          <w:rFonts w:ascii="Calibri" w:eastAsia="Calibri" w:hAnsi="Calibri" w:cs="Calibri"/>
        </w:rPr>
        <w:t xml:space="preserve"> Standards of Education and Training</w:t>
      </w:r>
      <w:r>
        <w:rPr>
          <w:rFonts w:ascii="Calibri" w:eastAsia="Calibri" w:hAnsi="Calibri" w:cs="Calibri"/>
        </w:rPr>
        <w:t>, and Standards of Proficiency for Clinical Scientists</w:t>
      </w:r>
      <w:r w:rsidRPr="00715E5D">
        <w:rPr>
          <w:rFonts w:ascii="Calibri" w:eastAsia="Calibri" w:hAnsi="Calibri" w:cs="Calibri"/>
        </w:rPr>
        <w:t>.</w:t>
      </w:r>
    </w:p>
    <w:p w14:paraId="5433DE66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To provide an </w:t>
      </w:r>
      <w:r>
        <w:rPr>
          <w:rFonts w:ascii="Calibri" w:eastAsia="Calibri" w:hAnsi="Calibri" w:cs="Calibri"/>
        </w:rPr>
        <w:t xml:space="preserve">annual </w:t>
      </w:r>
      <w:r w:rsidRPr="00715E5D">
        <w:rPr>
          <w:rFonts w:ascii="Calibri" w:eastAsia="Calibri" w:hAnsi="Calibri" w:cs="Calibri"/>
        </w:rPr>
        <w:t>External Examiner’s report in sufficient time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 xml:space="preserve">for the </w:t>
      </w:r>
      <w:r>
        <w:rPr>
          <w:rFonts w:ascii="Calibri" w:eastAsia="Calibri" w:hAnsi="Calibri" w:cs="Calibri"/>
        </w:rPr>
        <w:t>Regulations Board’s Education Standing Panel to consider ahead of a meeting of the Regulation Board. Timelines will be agreed with AHCS ahead of the annual quality review process.</w:t>
      </w:r>
    </w:p>
    <w:p w14:paraId="64E7DAF3" w14:textId="77777777" w:rsidR="006B3854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To attend the </w:t>
      </w:r>
      <w:r>
        <w:rPr>
          <w:rFonts w:ascii="Calibri" w:eastAsia="Calibri" w:hAnsi="Calibri" w:cs="Calibri"/>
        </w:rPr>
        <w:t>Regulation Board or its Education Standing Panel</w:t>
      </w:r>
      <w:r w:rsidRPr="00715E5D">
        <w:rPr>
          <w:rFonts w:ascii="Calibri" w:eastAsia="Calibri" w:hAnsi="Calibri" w:cs="Calibri"/>
        </w:rPr>
        <w:t xml:space="preserve"> to discuss the </w:t>
      </w:r>
      <w:r>
        <w:rPr>
          <w:rFonts w:ascii="Calibri" w:eastAsia="Calibri" w:hAnsi="Calibri" w:cs="Calibri"/>
        </w:rPr>
        <w:t xml:space="preserve">External Examiner report and any </w:t>
      </w:r>
      <w:r w:rsidRPr="00715E5D">
        <w:rPr>
          <w:rFonts w:ascii="Calibri" w:eastAsia="Calibri" w:hAnsi="Calibri" w:cs="Calibri"/>
        </w:rPr>
        <w:t xml:space="preserve">outcome of the Annual Quality Review </w:t>
      </w:r>
      <w:r>
        <w:rPr>
          <w:rFonts w:ascii="Calibri" w:eastAsia="Calibri" w:hAnsi="Calibri" w:cs="Calibri"/>
        </w:rPr>
        <w:t>if requested</w:t>
      </w:r>
      <w:r w:rsidRPr="00715E5D">
        <w:rPr>
          <w:rFonts w:ascii="Calibri" w:eastAsia="Calibri" w:hAnsi="Calibri" w:cs="Calibri"/>
        </w:rPr>
        <w:t>.</w:t>
      </w:r>
    </w:p>
    <w:p w14:paraId="2DC78BB2" w14:textId="77777777" w:rsidR="006B3854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</w:rPr>
        <w:tab/>
        <w:t>To provide commentary on any developments to the STP Certificate of Equivalence Programme such as changes in process or guidance documents.</w:t>
      </w:r>
    </w:p>
    <w:p w14:paraId="5B470953" w14:textId="77777777" w:rsidR="006B3854" w:rsidRPr="00715E5D" w:rsidRDefault="006B3854" w:rsidP="006B3854">
      <w:pPr>
        <w:spacing w:before="120" w:after="0" w:line="276" w:lineRule="auto"/>
        <w:ind w:left="426" w:hanging="426"/>
        <w:rPr>
          <w:rFonts w:ascii="Calibri" w:eastAsia="Calibri" w:hAnsi="Calibri" w:cs="Calibri"/>
        </w:rPr>
      </w:pPr>
    </w:p>
    <w:p w14:paraId="4F3D90F0" w14:textId="77777777" w:rsidR="006B3854" w:rsidRPr="00715E5D" w:rsidRDefault="006B3854" w:rsidP="006B3854">
      <w:pPr>
        <w:pStyle w:val="Heading2"/>
        <w:spacing w:before="120" w:line="276" w:lineRule="auto"/>
        <w:rPr>
          <w:rFonts w:eastAsia="Calibri"/>
        </w:rPr>
      </w:pPr>
      <w:r w:rsidRPr="00715E5D">
        <w:rPr>
          <w:rFonts w:eastAsia="Calibri"/>
        </w:rPr>
        <w:t>Fees and Expenses</w:t>
      </w:r>
    </w:p>
    <w:p w14:paraId="07EE3496" w14:textId="77777777" w:rsidR="006B3854" w:rsidRPr="00715E5D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The AHCS will pay reasonable expenses in accordance with its expenses policy (available on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request).</w:t>
      </w:r>
    </w:p>
    <w:p w14:paraId="58641976" w14:textId="77777777" w:rsidR="006B3854" w:rsidRDefault="006B3854" w:rsidP="006B3854">
      <w:pPr>
        <w:spacing w:before="120" w:after="0" w:line="276" w:lineRule="auto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</w:t>
      </w:r>
      <w:r w:rsidRPr="00715E5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The AHCS will pay an honorarium of £400 to the External Examiner on receipt of his/her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 xml:space="preserve">report for the </w:t>
      </w:r>
      <w:r>
        <w:rPr>
          <w:rFonts w:ascii="Calibri" w:eastAsia="Calibri" w:hAnsi="Calibri" w:cs="Calibri"/>
        </w:rPr>
        <w:t>a</w:t>
      </w:r>
      <w:r w:rsidRPr="00715E5D">
        <w:rPr>
          <w:rFonts w:ascii="Calibri" w:eastAsia="Calibri" w:hAnsi="Calibri" w:cs="Calibri"/>
        </w:rPr>
        <w:t xml:space="preserve">nnual </w:t>
      </w:r>
      <w:r>
        <w:rPr>
          <w:rFonts w:ascii="Calibri" w:eastAsia="Calibri" w:hAnsi="Calibri" w:cs="Calibri"/>
        </w:rPr>
        <w:t>q</w:t>
      </w:r>
      <w:r w:rsidRPr="00715E5D">
        <w:rPr>
          <w:rFonts w:ascii="Calibri" w:eastAsia="Calibri" w:hAnsi="Calibri" w:cs="Calibri"/>
        </w:rPr>
        <w:t xml:space="preserve">uality </w:t>
      </w:r>
      <w:r>
        <w:rPr>
          <w:rFonts w:ascii="Calibri" w:eastAsia="Calibri" w:hAnsi="Calibri" w:cs="Calibri"/>
        </w:rPr>
        <w:t>r</w:t>
      </w:r>
      <w:r w:rsidRPr="00715E5D">
        <w:rPr>
          <w:rFonts w:ascii="Calibri" w:eastAsia="Calibri" w:hAnsi="Calibri" w:cs="Calibri"/>
        </w:rPr>
        <w:t>eview</w:t>
      </w:r>
      <w:r>
        <w:rPr>
          <w:rFonts w:ascii="Calibri" w:eastAsia="Calibri" w:hAnsi="Calibri" w:cs="Calibri"/>
        </w:rPr>
        <w:t xml:space="preserve"> of the STP Certificate of Equivalence Programme</w:t>
      </w:r>
      <w:r w:rsidRPr="00715E5D">
        <w:rPr>
          <w:rFonts w:ascii="Calibri" w:eastAsia="Calibri" w:hAnsi="Calibri" w:cs="Calibri"/>
        </w:rPr>
        <w:t>.</w:t>
      </w:r>
    </w:p>
    <w:p w14:paraId="13319BD6" w14:textId="77777777" w:rsidR="006B3854" w:rsidRPr="00715E5D" w:rsidRDefault="006B3854" w:rsidP="006B3854">
      <w:pPr>
        <w:spacing w:before="120" w:after="0" w:line="276" w:lineRule="auto"/>
        <w:ind w:left="426" w:hanging="426"/>
        <w:rPr>
          <w:rFonts w:ascii="Calibri" w:eastAsia="Calibri" w:hAnsi="Calibri" w:cs="Calibri"/>
        </w:rPr>
      </w:pPr>
    </w:p>
    <w:p w14:paraId="71341DA8" w14:textId="77777777" w:rsidR="006B3854" w:rsidRPr="00715E5D" w:rsidRDefault="006B3854" w:rsidP="006B3854">
      <w:pPr>
        <w:pStyle w:val="Heading2"/>
        <w:spacing w:before="120" w:line="276" w:lineRule="auto"/>
        <w:rPr>
          <w:rFonts w:eastAsia="Calibri"/>
        </w:rPr>
      </w:pPr>
      <w:r w:rsidRPr="00715E5D">
        <w:rPr>
          <w:rFonts w:eastAsia="Calibri"/>
        </w:rPr>
        <w:t>Dispute Resolution</w:t>
      </w:r>
    </w:p>
    <w:p w14:paraId="7762A9B8" w14:textId="77777777" w:rsidR="006B3854" w:rsidRPr="00715E5D" w:rsidRDefault="006B3854" w:rsidP="006B3854">
      <w:pPr>
        <w:spacing w:before="120" w:after="0" w:line="276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 xml:space="preserve">Where there are irreconcilable differences between the External Examiner and </w:t>
      </w:r>
      <w:r>
        <w:rPr>
          <w:rFonts w:ascii="Calibri" w:eastAsia="Calibri" w:hAnsi="Calibri" w:cs="Calibri"/>
        </w:rPr>
        <w:t>Regulation Board</w:t>
      </w:r>
      <w:r w:rsidRPr="00715E5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AHCS will endeavour to resolve the dispute internally through a meeting between the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 xml:space="preserve">External Examiner and members of AHCS </w:t>
      </w:r>
      <w:r>
        <w:rPr>
          <w:rFonts w:ascii="Calibri" w:eastAsia="Calibri" w:hAnsi="Calibri" w:cs="Calibri"/>
        </w:rPr>
        <w:t xml:space="preserve">Executive </w:t>
      </w:r>
      <w:r w:rsidRPr="00715E5D">
        <w:rPr>
          <w:rFonts w:ascii="Calibri" w:eastAsia="Calibri" w:hAnsi="Calibri" w:cs="Calibri"/>
        </w:rPr>
        <w:t>Board.</w:t>
      </w:r>
    </w:p>
    <w:p w14:paraId="1F15E312" w14:textId="77777777" w:rsidR="006B3854" w:rsidRPr="004B1295" w:rsidRDefault="006B3854" w:rsidP="006B3854">
      <w:pPr>
        <w:spacing w:before="120" w:after="0" w:line="276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 w:rsidRPr="00715E5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 w:rsidRPr="00715E5D">
        <w:rPr>
          <w:rFonts w:ascii="Calibri" w:eastAsia="Calibri" w:hAnsi="Calibri" w:cs="Calibri"/>
        </w:rPr>
        <w:t>In extreme circumstances the AHCS will go to external arbitration through the appointment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of an appropriate expert in the discipline considered acceptable as an arbitrator to both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the External Examiner and the AHCS. The decision of such an external arbitrator will be</w:t>
      </w:r>
      <w:r>
        <w:rPr>
          <w:rFonts w:ascii="Calibri" w:eastAsia="Calibri" w:hAnsi="Calibri" w:cs="Calibri"/>
        </w:rPr>
        <w:t xml:space="preserve"> </w:t>
      </w:r>
      <w:r w:rsidRPr="00715E5D">
        <w:rPr>
          <w:rFonts w:ascii="Calibri" w:eastAsia="Calibri" w:hAnsi="Calibri" w:cs="Calibri"/>
        </w:rPr>
        <w:t>final.</w:t>
      </w:r>
    </w:p>
    <w:p w14:paraId="5490CDB2" w14:textId="77777777" w:rsidR="008514EE" w:rsidRDefault="008514EE"/>
    <w:sectPr w:rsidR="008514EE" w:rsidSect="000B0788">
      <w:footerReference w:type="default" r:id="rId7"/>
      <w:pgSz w:w="11906" w:h="16838"/>
      <w:pgMar w:top="993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888D" w14:textId="77777777" w:rsidR="000E0A35" w:rsidRDefault="000E0A35" w:rsidP="00CB4098">
      <w:pPr>
        <w:spacing w:after="0" w:line="240" w:lineRule="auto"/>
      </w:pPr>
      <w:r>
        <w:separator/>
      </w:r>
    </w:p>
  </w:endnote>
  <w:endnote w:type="continuationSeparator" w:id="0">
    <w:p w14:paraId="734214AC" w14:textId="77777777" w:rsidR="000E0A35" w:rsidRDefault="000E0A35" w:rsidP="00CB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068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2A53" w14:textId="5FA006AC" w:rsidR="00CB4098" w:rsidRDefault="00CB4098" w:rsidP="00CB4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24F2" w14:textId="77777777" w:rsidR="000E0A35" w:rsidRDefault="000E0A35" w:rsidP="00CB4098">
      <w:pPr>
        <w:spacing w:after="0" w:line="240" w:lineRule="auto"/>
      </w:pPr>
      <w:r>
        <w:separator/>
      </w:r>
    </w:p>
  </w:footnote>
  <w:footnote w:type="continuationSeparator" w:id="0">
    <w:p w14:paraId="746B18CE" w14:textId="77777777" w:rsidR="000E0A35" w:rsidRDefault="000E0A35" w:rsidP="00CB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13"/>
    <w:multiLevelType w:val="hybridMultilevel"/>
    <w:tmpl w:val="41F6D52C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8817AC6"/>
    <w:multiLevelType w:val="hybridMultilevel"/>
    <w:tmpl w:val="AA58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16"/>
    <w:multiLevelType w:val="hybridMultilevel"/>
    <w:tmpl w:val="A13ACEAE"/>
    <w:lvl w:ilvl="0" w:tplc="6138250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5E6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8C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8939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A0E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511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41E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DD8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443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C50D1"/>
    <w:multiLevelType w:val="hybridMultilevel"/>
    <w:tmpl w:val="455A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489"/>
    <w:multiLevelType w:val="hybridMultilevel"/>
    <w:tmpl w:val="45F898F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5D5399C"/>
    <w:multiLevelType w:val="hybridMultilevel"/>
    <w:tmpl w:val="8C8C58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6A61ED"/>
    <w:multiLevelType w:val="hybridMultilevel"/>
    <w:tmpl w:val="0922DB86"/>
    <w:lvl w:ilvl="0" w:tplc="5F7EEB46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49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E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055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675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85A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62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A2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5CD9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F0D25"/>
    <w:multiLevelType w:val="hybridMultilevel"/>
    <w:tmpl w:val="E57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667"/>
    <w:multiLevelType w:val="hybridMultilevel"/>
    <w:tmpl w:val="3DE60458"/>
    <w:lvl w:ilvl="0" w:tplc="E8D86508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1A27B35"/>
    <w:multiLevelType w:val="hybridMultilevel"/>
    <w:tmpl w:val="019407CC"/>
    <w:lvl w:ilvl="0" w:tplc="842AAB10">
      <w:start w:val="1"/>
      <w:numFmt w:val="lowerLetter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03CBA">
      <w:start w:val="1"/>
      <w:numFmt w:val="upperRoman"/>
      <w:lvlText w:val="%2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DCB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8D31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C8CB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2465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823B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EA312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A063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FD17A6"/>
    <w:multiLevelType w:val="hybridMultilevel"/>
    <w:tmpl w:val="C5FE341C"/>
    <w:lvl w:ilvl="0" w:tplc="6F5C799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F7187"/>
    <w:multiLevelType w:val="hybridMultilevel"/>
    <w:tmpl w:val="53008500"/>
    <w:lvl w:ilvl="0" w:tplc="D3E825DE">
      <w:start w:val="1"/>
      <w:numFmt w:val="lowerLetter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CECFC">
      <w:start w:val="1"/>
      <w:numFmt w:val="lowerLetter"/>
      <w:lvlText w:val="%2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6ABF8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6A9CA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6B540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2EA2C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88D0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0EDCA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C0BA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1157D"/>
    <w:multiLevelType w:val="hybridMultilevel"/>
    <w:tmpl w:val="B4C0B89C"/>
    <w:lvl w:ilvl="0" w:tplc="F1501F6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27D26663"/>
    <w:multiLevelType w:val="hybridMultilevel"/>
    <w:tmpl w:val="41F4B4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8550A64"/>
    <w:multiLevelType w:val="hybridMultilevel"/>
    <w:tmpl w:val="97AC3888"/>
    <w:lvl w:ilvl="0" w:tplc="C30E88D4">
      <w:start w:val="1"/>
      <w:numFmt w:val="decimal"/>
      <w:lvlText w:val="%1."/>
      <w:lvlJc w:val="left"/>
      <w:pPr>
        <w:ind w:left="450" w:hanging="4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8D5229A"/>
    <w:multiLevelType w:val="hybridMultilevel"/>
    <w:tmpl w:val="59AE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8239A"/>
    <w:multiLevelType w:val="hybridMultilevel"/>
    <w:tmpl w:val="2946E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A5B4D"/>
    <w:multiLevelType w:val="hybridMultilevel"/>
    <w:tmpl w:val="04FA5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736"/>
    <w:multiLevelType w:val="hybridMultilevel"/>
    <w:tmpl w:val="41E089FA"/>
    <w:lvl w:ilvl="0" w:tplc="B002BAD4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C1C2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6E12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C163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C661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C635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459D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EBF1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2F62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9F5C37"/>
    <w:multiLevelType w:val="hybridMultilevel"/>
    <w:tmpl w:val="D114A43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35B34A31"/>
    <w:multiLevelType w:val="hybridMultilevel"/>
    <w:tmpl w:val="176AAE02"/>
    <w:lvl w:ilvl="0" w:tplc="359E65CA">
      <w:start w:val="1"/>
      <w:numFmt w:val="lowerRoman"/>
      <w:lvlText w:val="%1)"/>
      <w:lvlJc w:val="left"/>
      <w:pPr>
        <w:ind w:left="1080" w:hanging="72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96A61"/>
    <w:multiLevelType w:val="hybridMultilevel"/>
    <w:tmpl w:val="B40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66FF"/>
    <w:multiLevelType w:val="hybridMultilevel"/>
    <w:tmpl w:val="12C8EC1E"/>
    <w:lvl w:ilvl="0" w:tplc="BC4AED70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E721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455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B6A73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666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D4AA6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06AC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898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6FA5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C4025D"/>
    <w:multiLevelType w:val="hybridMultilevel"/>
    <w:tmpl w:val="F63026D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5365F41"/>
    <w:multiLevelType w:val="hybridMultilevel"/>
    <w:tmpl w:val="12BE7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254EE5"/>
    <w:multiLevelType w:val="hybridMultilevel"/>
    <w:tmpl w:val="F1EEF8CC"/>
    <w:lvl w:ilvl="0" w:tplc="3EDCCCA0">
      <w:start w:val="1"/>
      <w:numFmt w:val="upperRoman"/>
      <w:lvlText w:val="%1."/>
      <w:lvlJc w:val="right"/>
      <w:pPr>
        <w:ind w:left="71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5E6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8C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8939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A0E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511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41E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DD8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443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2E2850"/>
    <w:multiLevelType w:val="hybridMultilevel"/>
    <w:tmpl w:val="7C8C6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DD3733"/>
    <w:multiLevelType w:val="hybridMultilevel"/>
    <w:tmpl w:val="5DC6017E"/>
    <w:lvl w:ilvl="0" w:tplc="670EE72E">
      <w:start w:val="8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757D"/>
    <w:multiLevelType w:val="hybridMultilevel"/>
    <w:tmpl w:val="1FE4B358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57D00A53"/>
    <w:multiLevelType w:val="hybridMultilevel"/>
    <w:tmpl w:val="7D1E4508"/>
    <w:lvl w:ilvl="0" w:tplc="08090013">
      <w:start w:val="1"/>
      <w:numFmt w:val="upperRoman"/>
      <w:lvlText w:val="%1."/>
      <w:lvlJc w:val="right"/>
      <w:pPr>
        <w:ind w:left="7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5E6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8C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8939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A0E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511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41E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DD8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443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4A1579"/>
    <w:multiLevelType w:val="hybridMultilevel"/>
    <w:tmpl w:val="77D8FA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2499B"/>
    <w:multiLevelType w:val="hybridMultilevel"/>
    <w:tmpl w:val="CD9C5114"/>
    <w:lvl w:ilvl="0" w:tplc="41500396">
      <w:start w:val="1"/>
      <w:numFmt w:val="upperRoman"/>
      <w:lvlText w:val="%1."/>
      <w:lvlJc w:val="righ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E7E601A"/>
    <w:multiLevelType w:val="multilevel"/>
    <w:tmpl w:val="2F6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880D9F"/>
    <w:multiLevelType w:val="hybridMultilevel"/>
    <w:tmpl w:val="7D4E87AA"/>
    <w:lvl w:ilvl="0" w:tplc="17825C24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904671"/>
    <w:multiLevelType w:val="hybridMultilevel"/>
    <w:tmpl w:val="324CE2C0"/>
    <w:lvl w:ilvl="0" w:tplc="670EE72E">
      <w:start w:val="8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9E4F91"/>
    <w:multiLevelType w:val="hybridMultilevel"/>
    <w:tmpl w:val="857A13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 w15:restartNumberingAfterBreak="0">
    <w:nsid w:val="60F019B8"/>
    <w:multiLevelType w:val="hybridMultilevel"/>
    <w:tmpl w:val="DD7EDDEE"/>
    <w:lvl w:ilvl="0" w:tplc="C750C666">
      <w:start w:val="1"/>
      <w:numFmt w:val="lowerLetter"/>
      <w:lvlText w:val="%1."/>
      <w:lvlJc w:val="left"/>
      <w:pPr>
        <w:ind w:left="77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CECFC">
      <w:start w:val="1"/>
      <w:numFmt w:val="lowerLetter"/>
      <w:lvlText w:val="%2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6ABF8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6A9CA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6B540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2EA2C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88D0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0EDCA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C0BA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EB0E7D"/>
    <w:multiLevelType w:val="hybridMultilevel"/>
    <w:tmpl w:val="EC0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77D93"/>
    <w:multiLevelType w:val="hybridMultilevel"/>
    <w:tmpl w:val="96A6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87421"/>
    <w:multiLevelType w:val="hybridMultilevel"/>
    <w:tmpl w:val="E76E0DC8"/>
    <w:lvl w:ilvl="0" w:tplc="08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0" w15:restartNumberingAfterBreak="0">
    <w:nsid w:val="751908AB"/>
    <w:multiLevelType w:val="hybridMultilevel"/>
    <w:tmpl w:val="95E4B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974ABD"/>
    <w:multiLevelType w:val="multilevel"/>
    <w:tmpl w:val="F6E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715B02"/>
    <w:multiLevelType w:val="hybridMultilevel"/>
    <w:tmpl w:val="6A22279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79812761"/>
    <w:multiLevelType w:val="multilevel"/>
    <w:tmpl w:val="FCD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AF6154"/>
    <w:multiLevelType w:val="hybridMultilevel"/>
    <w:tmpl w:val="25744124"/>
    <w:lvl w:ilvl="0" w:tplc="507AC3B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A2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09A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E3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29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E8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8F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C6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4C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4D7596"/>
    <w:multiLevelType w:val="hybridMultilevel"/>
    <w:tmpl w:val="A1AE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11"/>
  </w:num>
  <w:num w:numId="7">
    <w:abstractNumId w:val="44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31"/>
  </w:num>
  <w:num w:numId="13">
    <w:abstractNumId w:val="14"/>
  </w:num>
  <w:num w:numId="14">
    <w:abstractNumId w:val="29"/>
  </w:num>
  <w:num w:numId="15">
    <w:abstractNumId w:val="25"/>
  </w:num>
  <w:num w:numId="16">
    <w:abstractNumId w:val="5"/>
  </w:num>
  <w:num w:numId="17">
    <w:abstractNumId w:val="36"/>
  </w:num>
  <w:num w:numId="18">
    <w:abstractNumId w:val="17"/>
  </w:num>
  <w:num w:numId="19">
    <w:abstractNumId w:val="1"/>
  </w:num>
  <w:num w:numId="20">
    <w:abstractNumId w:val="15"/>
  </w:num>
  <w:num w:numId="21">
    <w:abstractNumId w:val="37"/>
  </w:num>
  <w:num w:numId="22">
    <w:abstractNumId w:val="3"/>
  </w:num>
  <w:num w:numId="23">
    <w:abstractNumId w:val="7"/>
  </w:num>
  <w:num w:numId="24">
    <w:abstractNumId w:val="28"/>
  </w:num>
  <w:num w:numId="25">
    <w:abstractNumId w:val="42"/>
  </w:num>
  <w:num w:numId="26">
    <w:abstractNumId w:val="43"/>
  </w:num>
  <w:num w:numId="27">
    <w:abstractNumId w:val="41"/>
  </w:num>
  <w:num w:numId="28">
    <w:abstractNumId w:val="32"/>
  </w:num>
  <w:num w:numId="29">
    <w:abstractNumId w:val="4"/>
  </w:num>
  <w:num w:numId="30">
    <w:abstractNumId w:val="30"/>
  </w:num>
  <w:num w:numId="31">
    <w:abstractNumId w:val="38"/>
  </w:num>
  <w:num w:numId="32">
    <w:abstractNumId w:val="12"/>
  </w:num>
  <w:num w:numId="33">
    <w:abstractNumId w:val="35"/>
  </w:num>
  <w:num w:numId="34">
    <w:abstractNumId w:val="20"/>
  </w:num>
  <w:num w:numId="35">
    <w:abstractNumId w:val="33"/>
  </w:num>
  <w:num w:numId="36">
    <w:abstractNumId w:val="10"/>
  </w:num>
  <w:num w:numId="37">
    <w:abstractNumId w:val="40"/>
  </w:num>
  <w:num w:numId="38">
    <w:abstractNumId w:val="27"/>
  </w:num>
  <w:num w:numId="39">
    <w:abstractNumId w:val="34"/>
  </w:num>
  <w:num w:numId="40">
    <w:abstractNumId w:val="26"/>
  </w:num>
  <w:num w:numId="41">
    <w:abstractNumId w:val="16"/>
  </w:num>
  <w:num w:numId="42">
    <w:abstractNumId w:val="23"/>
  </w:num>
  <w:num w:numId="43">
    <w:abstractNumId w:val="13"/>
  </w:num>
  <w:num w:numId="44">
    <w:abstractNumId w:val="39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9B"/>
    <w:rsid w:val="00011D17"/>
    <w:rsid w:val="000B0788"/>
    <w:rsid w:val="000C0028"/>
    <w:rsid w:val="000E0A35"/>
    <w:rsid w:val="001154A4"/>
    <w:rsid w:val="00160A7C"/>
    <w:rsid w:val="002418FC"/>
    <w:rsid w:val="00244B9B"/>
    <w:rsid w:val="002B2574"/>
    <w:rsid w:val="003A6BB6"/>
    <w:rsid w:val="00657373"/>
    <w:rsid w:val="006A6343"/>
    <w:rsid w:val="006B3854"/>
    <w:rsid w:val="008514EE"/>
    <w:rsid w:val="00946BF0"/>
    <w:rsid w:val="00A62016"/>
    <w:rsid w:val="00A90C16"/>
    <w:rsid w:val="00B5272E"/>
    <w:rsid w:val="00BF3B07"/>
    <w:rsid w:val="00C26F36"/>
    <w:rsid w:val="00C8552F"/>
    <w:rsid w:val="00CB4098"/>
    <w:rsid w:val="00D862AE"/>
    <w:rsid w:val="00DA7E0A"/>
    <w:rsid w:val="00E0451A"/>
    <w:rsid w:val="00E62348"/>
    <w:rsid w:val="00E658C2"/>
    <w:rsid w:val="00F91E30"/>
    <w:rsid w:val="00FB0B25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FEC5"/>
  <w15:chartTrackingRefBased/>
  <w15:docId w15:val="{DE036FC0-7BE4-4664-B036-4C49F8B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B"/>
  </w:style>
  <w:style w:type="paragraph" w:styleId="Heading1">
    <w:name w:val="heading 1"/>
    <w:basedOn w:val="Normal"/>
    <w:next w:val="Normal"/>
    <w:link w:val="Heading1Char"/>
    <w:uiPriority w:val="9"/>
    <w:qFormat/>
    <w:rsid w:val="00B5272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72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52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B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854"/>
    <w:pPr>
      <w:tabs>
        <w:tab w:val="center" w:pos="4513"/>
        <w:tab w:val="right" w:pos="9026"/>
      </w:tabs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3854"/>
    <w:rPr>
      <w:rFonts w:ascii="Arial" w:eastAsia="Arial" w:hAnsi="Arial" w:cs="Arial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854"/>
    <w:pPr>
      <w:tabs>
        <w:tab w:val="center" w:pos="4513"/>
        <w:tab w:val="right" w:pos="9026"/>
      </w:tabs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3854"/>
    <w:rPr>
      <w:rFonts w:ascii="Arial" w:eastAsia="Arial" w:hAnsi="Arial" w:cs="Arial"/>
      <w:color w:val="000000"/>
      <w:sz w:val="20"/>
      <w:lang w:eastAsia="en-GB"/>
    </w:rPr>
  </w:style>
  <w:style w:type="table" w:styleId="TableGrid">
    <w:name w:val="Table Grid"/>
    <w:basedOn w:val="TableNormal"/>
    <w:uiPriority w:val="59"/>
    <w:rsid w:val="006B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btleEmphasis-03-Sub">
    <w:name w:val="Subtle Emphasis - 03 - Sub"/>
    <w:basedOn w:val="DefaultParagraphFont"/>
    <w:uiPriority w:val="1"/>
    <w:qFormat/>
    <w:rsid w:val="006B3854"/>
    <w:rPr>
      <w:rFonts w:ascii="Gill Sans MT" w:hAnsi="Gill Sans MT" w:cstheme="minorHAnsi"/>
      <w:b/>
      <w:color w:val="2F5496" w:themeColor="accent1" w:themeShade="BF"/>
      <w:sz w:val="22"/>
      <w:szCs w:val="24"/>
    </w:rPr>
  </w:style>
  <w:style w:type="paragraph" w:customStyle="1" w:styleId="Title01-MainHeading">
    <w:name w:val="Title 01 - Main Heading"/>
    <w:basedOn w:val="Normal"/>
    <w:next w:val="Normal"/>
    <w:link w:val="Title01-MainHeadingChar"/>
    <w:qFormat/>
    <w:rsid w:val="006B3854"/>
    <w:pPr>
      <w:spacing w:after="0" w:line="240" w:lineRule="auto"/>
    </w:pPr>
    <w:rPr>
      <w:rFonts w:ascii="Gill Sans MT" w:eastAsia="Calibri" w:hAnsi="Gill Sans MT" w:cstheme="minorHAnsi"/>
      <w:b/>
      <w:color w:val="2F5496" w:themeColor="accent1" w:themeShade="BF"/>
      <w:sz w:val="36"/>
      <w:szCs w:val="28"/>
    </w:rPr>
  </w:style>
  <w:style w:type="paragraph" w:customStyle="1" w:styleId="Subtitle02-Subhead">
    <w:name w:val="Subtitle 02 - Subhead"/>
    <w:basedOn w:val="Normal"/>
    <w:link w:val="Subtitle02-SubheadChar"/>
    <w:qFormat/>
    <w:rsid w:val="006B3854"/>
    <w:pPr>
      <w:spacing w:after="200" w:line="276" w:lineRule="auto"/>
    </w:pPr>
    <w:rPr>
      <w:rFonts w:ascii="Gill Sans MT" w:eastAsia="Calibri" w:hAnsi="Gill Sans MT" w:cs="Times New Roman"/>
      <w:i/>
      <w:color w:val="2F5496" w:themeColor="accent1" w:themeShade="BF"/>
      <w:sz w:val="36"/>
    </w:rPr>
  </w:style>
  <w:style w:type="character" w:customStyle="1" w:styleId="Title01-MainHeadingChar">
    <w:name w:val="Title 01 - Main Heading Char"/>
    <w:basedOn w:val="DefaultParagraphFont"/>
    <w:link w:val="Title01-MainHeading"/>
    <w:rsid w:val="006B3854"/>
    <w:rPr>
      <w:rFonts w:ascii="Gill Sans MT" w:eastAsia="Calibri" w:hAnsi="Gill Sans MT" w:cstheme="minorHAnsi"/>
      <w:b/>
      <w:color w:val="2F5496" w:themeColor="accent1" w:themeShade="BF"/>
      <w:sz w:val="36"/>
      <w:szCs w:val="28"/>
    </w:rPr>
  </w:style>
  <w:style w:type="character" w:customStyle="1" w:styleId="Subtitle02-SubheadChar">
    <w:name w:val="Subtitle 02 - Subhead Char"/>
    <w:basedOn w:val="DefaultParagraphFont"/>
    <w:link w:val="Subtitle02-Subhead"/>
    <w:rsid w:val="006B3854"/>
    <w:rPr>
      <w:rFonts w:ascii="Gill Sans MT" w:eastAsia="Calibri" w:hAnsi="Gill Sans MT" w:cs="Times New Roman"/>
      <w:i/>
      <w:color w:val="2F5496" w:themeColor="accent1" w:themeShade="BF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85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854"/>
    <w:rPr>
      <w:rFonts w:ascii="Arial" w:eastAsia="Arial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3854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B3854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B385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B3854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B3854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6B38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6B3854"/>
    <w:pPr>
      <w:widowControl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54"/>
    <w:pPr>
      <w:spacing w:after="32" w:line="240" w:lineRule="auto"/>
      <w:ind w:left="10" w:hanging="10"/>
      <w:jc w:val="both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54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54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B3854"/>
    <w:pPr>
      <w:spacing w:after="0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B3854"/>
    <w:pPr>
      <w:spacing w:after="100"/>
      <w:ind w:left="200" w:hanging="10"/>
      <w:jc w:val="both"/>
    </w:pPr>
    <w:rPr>
      <w:rFonts w:ascii="Arial" w:eastAsia="Arial" w:hAnsi="Arial" w:cs="Arial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Jenkins</dc:creator>
  <cp:keywords/>
  <dc:description/>
  <cp:lastModifiedBy>Elaine Jenkins</cp:lastModifiedBy>
  <cp:revision>8</cp:revision>
  <dcterms:created xsi:type="dcterms:W3CDTF">2021-08-18T11:15:00Z</dcterms:created>
  <dcterms:modified xsi:type="dcterms:W3CDTF">2021-08-19T09:46:00Z</dcterms:modified>
</cp:coreProperties>
</file>