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50024" w14:textId="77777777" w:rsidR="00251720" w:rsidRDefault="00251720" w:rsidP="00251720">
      <w:pPr>
        <w:jc w:val="center"/>
        <w:rPr>
          <w:b/>
          <w:sz w:val="32"/>
          <w:szCs w:val="32"/>
        </w:rPr>
      </w:pPr>
    </w:p>
    <w:p w14:paraId="1B634510" w14:textId="77777777" w:rsidR="00257009" w:rsidRDefault="00257009" w:rsidP="00562C10">
      <w:pPr>
        <w:jc w:val="center"/>
        <w:rPr>
          <w:b/>
          <w:sz w:val="28"/>
          <w:szCs w:val="28"/>
        </w:rPr>
      </w:pPr>
    </w:p>
    <w:p w14:paraId="4A5D4470" w14:textId="77777777" w:rsidR="00497D77" w:rsidRPr="00257009" w:rsidRDefault="00562C10" w:rsidP="00562C10">
      <w:pPr>
        <w:jc w:val="center"/>
        <w:rPr>
          <w:b/>
          <w:sz w:val="28"/>
          <w:szCs w:val="28"/>
        </w:rPr>
      </w:pPr>
      <w:r w:rsidRPr="00257009">
        <w:rPr>
          <w:b/>
          <w:sz w:val="28"/>
          <w:szCs w:val="28"/>
        </w:rPr>
        <w:t xml:space="preserve">JOINT STATEMENT BETWEEN </w:t>
      </w:r>
      <w:r w:rsidR="00257009" w:rsidRPr="00257009">
        <w:rPr>
          <w:b/>
          <w:sz w:val="28"/>
          <w:szCs w:val="28"/>
        </w:rPr>
        <w:t xml:space="preserve">THE </w:t>
      </w:r>
      <w:r w:rsidRPr="00257009">
        <w:rPr>
          <w:b/>
          <w:sz w:val="28"/>
          <w:szCs w:val="28"/>
        </w:rPr>
        <w:t xml:space="preserve">ACADEMY </w:t>
      </w:r>
      <w:r w:rsidR="00210049">
        <w:rPr>
          <w:b/>
          <w:sz w:val="28"/>
          <w:szCs w:val="28"/>
        </w:rPr>
        <w:t>FOR</w:t>
      </w:r>
      <w:r w:rsidRPr="00257009">
        <w:rPr>
          <w:b/>
          <w:sz w:val="28"/>
          <w:szCs w:val="28"/>
        </w:rPr>
        <w:t xml:space="preserve"> HEALTHCARE SCIENCE (AHCS) AND </w:t>
      </w:r>
      <w:r w:rsidR="00257009" w:rsidRPr="00257009">
        <w:rPr>
          <w:b/>
          <w:sz w:val="28"/>
          <w:szCs w:val="28"/>
        </w:rPr>
        <w:t xml:space="preserve">THE </w:t>
      </w:r>
      <w:r w:rsidRPr="00257009">
        <w:rPr>
          <w:b/>
          <w:sz w:val="28"/>
          <w:szCs w:val="28"/>
        </w:rPr>
        <w:t>GENETIC COUNSELLOR REGISTRATION BOARD (GCRB)</w:t>
      </w:r>
    </w:p>
    <w:p w14:paraId="77175D6B" w14:textId="77777777" w:rsidR="00562C10" w:rsidRDefault="00562C10"/>
    <w:p w14:paraId="5667BED1" w14:textId="77777777" w:rsidR="00255A44" w:rsidRDefault="00251720" w:rsidP="008B2A59">
      <w:pPr>
        <w:jc w:val="both"/>
        <w:rPr>
          <w:sz w:val="24"/>
          <w:szCs w:val="24"/>
        </w:rPr>
      </w:pPr>
      <w:r w:rsidRPr="00251720">
        <w:rPr>
          <w:sz w:val="24"/>
          <w:szCs w:val="24"/>
        </w:rPr>
        <w:t xml:space="preserve">This is </w:t>
      </w:r>
      <w:r w:rsidR="006670D4">
        <w:rPr>
          <w:sz w:val="24"/>
          <w:szCs w:val="24"/>
        </w:rPr>
        <w:t xml:space="preserve">a </w:t>
      </w:r>
      <w:r w:rsidR="008B2A59">
        <w:rPr>
          <w:sz w:val="24"/>
          <w:szCs w:val="24"/>
        </w:rPr>
        <w:t xml:space="preserve">formal confirmation that the notification of change to transfer the GCRB under the auspices of the AHCS has been approved by the Professional Standards Authority (PSA). </w:t>
      </w:r>
    </w:p>
    <w:p w14:paraId="651035F5" w14:textId="77777777" w:rsidR="00E11E87" w:rsidRDefault="00251720" w:rsidP="003117EC">
      <w:pPr>
        <w:jc w:val="both"/>
        <w:rPr>
          <w:sz w:val="24"/>
          <w:szCs w:val="24"/>
        </w:rPr>
      </w:pPr>
      <w:r w:rsidRPr="00251720">
        <w:rPr>
          <w:sz w:val="24"/>
          <w:szCs w:val="24"/>
        </w:rPr>
        <w:t>T</w:t>
      </w:r>
      <w:r w:rsidR="008B2A59">
        <w:rPr>
          <w:sz w:val="24"/>
          <w:szCs w:val="24"/>
        </w:rPr>
        <w:t>he GCRB and AHCS will now work on aligning patient</w:t>
      </w:r>
      <w:r w:rsidR="006670D4">
        <w:rPr>
          <w:sz w:val="24"/>
          <w:szCs w:val="24"/>
        </w:rPr>
        <w:t>-</w:t>
      </w:r>
      <w:r w:rsidR="008B2A59">
        <w:rPr>
          <w:sz w:val="24"/>
          <w:szCs w:val="24"/>
        </w:rPr>
        <w:t xml:space="preserve"> and public</w:t>
      </w:r>
      <w:r w:rsidR="006670D4">
        <w:rPr>
          <w:sz w:val="24"/>
          <w:szCs w:val="24"/>
        </w:rPr>
        <w:t>-</w:t>
      </w:r>
      <w:r w:rsidR="008B2A59">
        <w:rPr>
          <w:sz w:val="24"/>
          <w:szCs w:val="24"/>
        </w:rPr>
        <w:t>facing processes as a priority in the first instance. The Academy continues to support the GCRB and have oversight of all its functions.</w:t>
      </w:r>
    </w:p>
    <w:p w14:paraId="39F2F6A2" w14:textId="77777777" w:rsidR="008B2A59" w:rsidRDefault="008B2A59" w:rsidP="00311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GCRB Registrants should now use all three logos as reflected on this statement with their professional signatures. </w:t>
      </w:r>
    </w:p>
    <w:p w14:paraId="38EC7DA4" w14:textId="77777777" w:rsidR="008B2A59" w:rsidRPr="00251720" w:rsidRDefault="008B2A59" w:rsidP="00311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Updates during this transition will continue to be communicated through the GCRB Chair and the </w:t>
      </w:r>
      <w:r w:rsidR="006670D4">
        <w:rPr>
          <w:sz w:val="24"/>
          <w:szCs w:val="24"/>
        </w:rPr>
        <w:t xml:space="preserve">GCRB and Academy </w:t>
      </w:r>
      <w:r>
        <w:rPr>
          <w:sz w:val="24"/>
          <w:szCs w:val="24"/>
        </w:rPr>
        <w:t>website</w:t>
      </w:r>
      <w:r w:rsidR="006670D4">
        <w:rPr>
          <w:sz w:val="24"/>
          <w:szCs w:val="24"/>
        </w:rPr>
        <w:t>s</w:t>
      </w:r>
      <w:r>
        <w:rPr>
          <w:sz w:val="24"/>
          <w:szCs w:val="24"/>
        </w:rPr>
        <w:t>. Registrants will be duly notified of any formal changes to the channels of communication in the future.</w:t>
      </w:r>
    </w:p>
    <w:p w14:paraId="639CDFC8" w14:textId="77777777" w:rsidR="00251720" w:rsidRDefault="00251720" w:rsidP="00251720">
      <w:pPr>
        <w:ind w:left="720"/>
      </w:pPr>
    </w:p>
    <w:p w14:paraId="1441E861" w14:textId="77777777" w:rsidR="00251720" w:rsidRPr="00251720" w:rsidRDefault="00251720" w:rsidP="00251720">
      <w:pPr>
        <w:ind w:left="720"/>
      </w:pPr>
    </w:p>
    <w:p w14:paraId="3F7C9A38" w14:textId="77777777" w:rsidR="00562C10" w:rsidRPr="00B57F35" w:rsidRDefault="00251720" w:rsidP="001236C7">
      <w:pPr>
        <w:ind w:right="-306"/>
        <w:rPr>
          <w:sz w:val="24"/>
          <w:szCs w:val="24"/>
        </w:rPr>
      </w:pPr>
      <w:r w:rsidRPr="00CC44A5">
        <w:rPr>
          <w:noProof/>
          <w:sz w:val="24"/>
          <w:szCs w:val="24"/>
          <w:lang w:eastAsia="en-GB"/>
        </w:rPr>
        <w:drawing>
          <wp:inline distT="0" distB="0" distL="0" distR="0" wp14:anchorId="2A352D0A" wp14:editId="1C5B5EB2">
            <wp:extent cx="2514600" cy="8686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31179" b="2565"/>
                    <a:stretch/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36C7">
        <w:rPr>
          <w:sz w:val="24"/>
          <w:szCs w:val="24"/>
        </w:rPr>
        <w:t xml:space="preserve">    </w:t>
      </w:r>
      <w:bookmarkStart w:id="0" w:name="_GoBack"/>
      <w:bookmarkEnd w:id="0"/>
      <w:r w:rsidR="001236C7">
        <w:rPr>
          <w:noProof/>
          <w:lang w:eastAsia="en-GB"/>
        </w:rPr>
        <w:drawing>
          <wp:inline distT="0" distB="0" distL="0" distR="0" wp14:anchorId="04ADB55F" wp14:editId="1713BC01">
            <wp:extent cx="2087880" cy="570459"/>
            <wp:effectExtent l="0" t="0" r="762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25" cy="58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C10" w:rsidRPr="00B57F35" w:rsidSect="001236C7">
      <w:headerReference w:type="defaul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0E53F" w14:textId="77777777" w:rsidR="00D77600" w:rsidRDefault="00D77600" w:rsidP="00251720">
      <w:pPr>
        <w:spacing w:after="0" w:line="240" w:lineRule="auto"/>
      </w:pPr>
      <w:r>
        <w:separator/>
      </w:r>
    </w:p>
  </w:endnote>
  <w:endnote w:type="continuationSeparator" w:id="0">
    <w:p w14:paraId="0C085A3A" w14:textId="77777777" w:rsidR="00D77600" w:rsidRDefault="00D77600" w:rsidP="002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837A9" w14:textId="77777777" w:rsidR="00D77600" w:rsidRDefault="00D77600" w:rsidP="00251720">
      <w:pPr>
        <w:spacing w:after="0" w:line="240" w:lineRule="auto"/>
      </w:pPr>
      <w:r>
        <w:separator/>
      </w:r>
    </w:p>
  </w:footnote>
  <w:footnote w:type="continuationSeparator" w:id="0">
    <w:p w14:paraId="370F7FD2" w14:textId="77777777" w:rsidR="00D77600" w:rsidRDefault="00D77600" w:rsidP="0025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22E05" w14:textId="77777777" w:rsidR="00251720" w:rsidRDefault="00251720" w:rsidP="00251720">
    <w:pPr>
      <w:pStyle w:val="Header"/>
      <w:tabs>
        <w:tab w:val="clear" w:pos="4513"/>
      </w:tabs>
    </w:pPr>
    <w:r>
      <w:rPr>
        <w:noProof/>
        <w:color w:val="008000"/>
        <w:vertAlign w:val="subscript"/>
        <w:lang w:eastAsia="en-GB"/>
      </w:rPr>
      <w:drawing>
        <wp:inline distT="0" distB="0" distL="0" distR="0" wp14:anchorId="2F828174" wp14:editId="3CACFF5B">
          <wp:extent cx="1010285" cy="1010285"/>
          <wp:effectExtent l="1905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7506">
      <w:rPr>
        <w:noProof/>
      </w:rPr>
      <w:t xml:space="preserve">         </w:t>
    </w:r>
    <w:r w:rsidR="00CB7506">
      <w:rPr>
        <w:noProof/>
        <w:lang w:eastAsia="en-GB"/>
      </w:rPr>
      <w:drawing>
        <wp:inline distT="0" distB="0" distL="0" distR="0" wp14:anchorId="53CD1316" wp14:editId="7D620256">
          <wp:extent cx="2788920" cy="7620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8000"/>
        <w:vertAlign w:val="subscript"/>
        <w:lang w:eastAsia="en-GB"/>
      </w:rPr>
      <w:drawing>
        <wp:inline distT="0" distB="0" distL="0" distR="0" wp14:anchorId="3400AB28" wp14:editId="18B2F892">
          <wp:extent cx="1573530" cy="744220"/>
          <wp:effectExtent l="19050" t="0" r="762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1DD1"/>
    <w:multiLevelType w:val="hybridMultilevel"/>
    <w:tmpl w:val="1DB4EF10"/>
    <w:lvl w:ilvl="0" w:tplc="FE86E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61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0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7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C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4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7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E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10"/>
    <w:rsid w:val="00112213"/>
    <w:rsid w:val="001236C7"/>
    <w:rsid w:val="00210049"/>
    <w:rsid w:val="00251720"/>
    <w:rsid w:val="00255A44"/>
    <w:rsid w:val="00257009"/>
    <w:rsid w:val="003117EC"/>
    <w:rsid w:val="00497D77"/>
    <w:rsid w:val="00562C10"/>
    <w:rsid w:val="005C6386"/>
    <w:rsid w:val="005F3529"/>
    <w:rsid w:val="006670D4"/>
    <w:rsid w:val="00730E52"/>
    <w:rsid w:val="00783B4F"/>
    <w:rsid w:val="007A41E0"/>
    <w:rsid w:val="00842393"/>
    <w:rsid w:val="008B2A59"/>
    <w:rsid w:val="00A01E8C"/>
    <w:rsid w:val="00B57F35"/>
    <w:rsid w:val="00B92378"/>
    <w:rsid w:val="00CB7506"/>
    <w:rsid w:val="00D77600"/>
    <w:rsid w:val="00E11E87"/>
    <w:rsid w:val="00F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C71E"/>
  <w15:chartTrackingRefBased/>
  <w15:docId w15:val="{69C131CF-A9F7-4A3E-A826-4C235D4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1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720"/>
  </w:style>
  <w:style w:type="paragraph" w:styleId="Footer">
    <w:name w:val="footer"/>
    <w:basedOn w:val="Normal"/>
    <w:link w:val="FooterChar"/>
    <w:uiPriority w:val="99"/>
    <w:unhideWhenUsed/>
    <w:rsid w:val="00251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720"/>
  </w:style>
  <w:style w:type="paragraph" w:styleId="BalloonText">
    <w:name w:val="Balloon Text"/>
    <w:basedOn w:val="Normal"/>
    <w:link w:val="BalloonTextChar"/>
    <w:uiPriority w:val="99"/>
    <w:semiHidden/>
    <w:unhideWhenUsed/>
    <w:rsid w:val="0066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7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ABC8DE3C4494781C83DEBDB1E2931" ma:contentTypeVersion="11" ma:contentTypeDescription="Create a new document." ma:contentTypeScope="" ma:versionID="393adfcd923d0fbce404cda2fc1ea621">
  <xsd:schema xmlns:xsd="http://www.w3.org/2001/XMLSchema" xmlns:xs="http://www.w3.org/2001/XMLSchema" xmlns:p="http://schemas.microsoft.com/office/2006/metadata/properties" xmlns:ns3="38140d75-67af-4309-a2d1-4c1aa2f9ac0b" xmlns:ns4="12486ea9-4609-4bec-8dd7-1f11805e0ec3" targetNamespace="http://schemas.microsoft.com/office/2006/metadata/properties" ma:root="true" ma:fieldsID="5f93deb2f2c5364b7f4551a74ed5dede" ns3:_="" ns4:_="">
    <xsd:import namespace="38140d75-67af-4309-a2d1-4c1aa2f9ac0b"/>
    <xsd:import namespace="12486ea9-4609-4bec-8dd7-1f11805e0e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40d75-67af-4309-a2d1-4c1aa2f9ac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86ea9-4609-4bec-8dd7-1f11805e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D9749-1D33-430F-AA78-84792350BF43}">
  <ds:schemaRefs>
    <ds:schemaRef ds:uri="http://purl.org/dc/dcmitype/"/>
    <ds:schemaRef ds:uri="38140d75-67af-4309-a2d1-4c1aa2f9ac0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2486ea9-4609-4bec-8dd7-1f11805e0ec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4DD0F-ADD0-43EB-88E6-315B61CEF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95AF2-76EF-4EB3-84F0-1FBCA6E5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40d75-67af-4309-a2d1-4c1aa2f9ac0b"/>
    <ds:schemaRef ds:uri="12486ea9-4609-4bec-8dd7-1f11805e0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Tripathi Vishakha</dc:creator>
  <cp:keywords/>
  <dc:description/>
  <cp:lastModifiedBy>Tripathi Vishakha</cp:lastModifiedBy>
  <cp:revision>2</cp:revision>
  <dcterms:created xsi:type="dcterms:W3CDTF">2019-08-01T08:14:00Z</dcterms:created>
  <dcterms:modified xsi:type="dcterms:W3CDTF">2019-08-01T08:14:00Z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0x010100777ABC8DE3C4494781C83DEBDB1E2931</vt:lpwstr>
  </property>
</Properties>
</file>